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 w:themeFill="background1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bookmarkStart w:id="0" w:name="_Hlk75185838"/>
      <w:r>
        <w:rPr>
          <w:rFonts w:ascii="Liberation Serif" w:hAnsi="Liberation Serif" w:eastAsia="Liberation Serif" w:cs="Liberation Serif"/>
          <w:sz w:val="24"/>
          <w:szCs w:val="24"/>
        </w:rPr>
      </w:r>
      <w:bookmarkStart w:id="1" w:name="_GoBack"/>
      <w:r>
        <w:rPr>
          <w:rFonts w:ascii="Liberation Serif" w:hAnsi="Liberation Serif" w:eastAsia="Liberation Serif" w:cs="Liberation Serif"/>
          <w:sz w:val="24"/>
          <w:szCs w:val="24"/>
        </w:rPr>
      </w:r>
      <w:bookmarkEnd w:id="1"/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hd w:val="clear" w:color="auto" w:fill="ffffff" w:themeFill="background1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Перечень товаров, работ, услуг, закупки которых осуществляются у субъектов малого и среднего предпринимательства</w:t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tbl>
      <w:tblPr>
        <w:tblW w:w="1006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1"/>
        <w:gridCol w:w="7126"/>
        <w:gridCol w:w="82"/>
      </w:tblGrid>
      <w:tr>
        <w:tblPrEx/>
        <w:trPr>
          <w:trHeight w:val="402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9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0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Наименование Заказчика (Юридического лица)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«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Объединенный расчетный центр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»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0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Адрес местонахождения Заказчика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Российская Федерация, 410035, Саратовская область, г. Саратов, 1-й 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Топольчанский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 проезд, здание 8,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02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Телефон Заказчика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8 (845-2)-24-42-54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0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Электронная почта Заказчика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  <w:lang w:val="en-US"/>
              </w:rPr>
              <w:t xml:space="preserve">eremeeva_so@interrao.ru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02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ИНН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7734431500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02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КПП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645201001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02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ОКАТО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63401000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9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ccccc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№ п/п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cccccc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Код ОКПД2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cccccc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Наименование товаров, работ, услуг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25.73.30.299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Инструмент слесарно-монтажный прочий, не включенный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18.12.14.000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печатанию книг, географических карт, гидрографических или аналогичных карт всех видов, репродукций, чертежей и фотографий, открыток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18.11.10.000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печатанию газет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17.23.14.120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Картон прочий, используемый для письма или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печати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или прочих графических целей, тисненый, гофрированный или перфорированный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17.23.13.199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Принадлежности канцелярские прочие из бумаги или картона,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17.23.14.110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Бумага прочая, используемая для письма или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печати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или прочих графических целей, тисненая, гофрированная или перфорированная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0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17.23.13.141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Бланки личных документов строгого учета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11.07.19.190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Напитки безалкогольные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10.82.22.149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Конфеты, глазированные шоколадной и шоколадно-молочной глазурью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81.29.19.000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чистке и уборке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ind w:left="36"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  <w:p>
            <w:pP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r>
          </w:p>
          <w:p>
            <w:pP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прочие, связанные со службой предварительных заказов</w:t>
            </w:r>
            <w: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79.90.39.190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continue"/>
            <w:textDirection w:val="lrTb"/>
            <w:noWrap w:val="false"/>
          </w:tcPr>
          <w:p>
            <w:pPr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</w:r>
            <w:r>
              <w:rPr>
                <w:color w:val="000000"/>
                <w:sz w:val="22"/>
                <w:szCs w:val="20"/>
              </w:rPr>
            </w:r>
            <w:r>
              <w:rPr>
                <w:color w:val="000000"/>
                <w:sz w:val="22"/>
                <w:szCs w:val="20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74.90.12.122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установлению рыночной или иной стоимости совокупности вещей, составляющих имущество лица, в том числе имущество определенного вида (движимое или недвижимое, включая предприятия)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6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74.10.19.000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специализированному дизайну прочие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73.11.19.000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рекламные прочие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71.20.19.130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оценке условий труда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0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71.12.39.113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мониторингу загрязнения окружающей среды для физических и юридических лиц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71.12.12.190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инженерно-техническому проектированию зданий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7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63.99.10.190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информационные автоматизированные компьютерные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63.11.13.000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предоставлению программного обеспечения без его размещения на компьютерном оборудовании пользователя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62.09.20.190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технической поддержке в области информационных технологий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62.03.12.190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управлению компьютерными системами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62.02.30.000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технической поддержке информационных технологий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62.01.29.000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Оригиналы программного обеспечения прочие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0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61.20.30.120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передаче данных по беспроводным телекоммуникационным сетям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58.19.19.190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Продукция издательская печатная прочая, не включенная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58.11.12.000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Книги печатные профессиональные, технические и научные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53.20.19.120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курьерские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47.78.30.000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сувенирами, изделиями народных художественных промыслов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47.62.20.000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писчебумажными и канцелярскими товарами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47.54.10.000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бытовыми электротоварами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47.52.73.000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металлическими и неметаллическими конструкциями и т.п.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47.52.60.000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садово-огородной техникой и инвентарем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47.41.10.000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компьютерами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46.52.12.000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электронным оборудованием и его частями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20"/>
        </w:trPr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47.42.10.000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телекоммуникационным оборудованием, включая розничную торговлю мобильными телефонами,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47.41.20.000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программным обеспечением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46.74.12.000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водопроводным и отопительным оборудованием и санитарно-технической арматурой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46.66.10.000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прочей офисной техникой и оборудованием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46.49.39.000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прочими потребительскими товарами, не включенными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46.49.21.000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книгами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46.49.23.000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писчебумажными и канцелярскими товарами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46.43.11.000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бытовыми электроприборами, кроме радио- и телеаппаратуры и фототоваров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46.42.11.110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одеждой, включая спортивную, кроме нательного белья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46.14.11.000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компьютерами, программным обеспечением, электронным и телекоммуникационным оборудованием и прочим офисным оборудованием за вознаграждение или на договорной основе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46.11.12.000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цветами и растениями за вознаграждение или на договорной основе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43.29.19.190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Работы монтажные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43.21.10.140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Работы по монтажу систем пожарной сигнализации и охранной сигнализации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36.00.20.110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очистке и подготовке воды для водоснабжения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36.00.11.000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Вода питьевая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33.17.19.000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ремонту и техническому обслуживанию прочих транспортных средств и оборудования, не включенных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33.14.19.000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ремонту и техническому обслуживанию прочего профессионального электрического оборудования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32.99.11.199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Средства индивидуальной защиты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28.29.22.110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Огнетушители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6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28.25.12.130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Кондиционеры бытовые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28.25.12.110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Кондиционеры промышленные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28.23.21.110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Аппараты фотокопировальные со встроенной оптической системой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27.52.20.000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Части печей, плит, подогревателей тарелок и аналогичных неэлектрических бытовых приборов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27.51.30.000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Части бытовых электрических приборов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27.52.12.000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Приборы бытовые прочие, на газовом топливе или на газовом и других видах топлива, на жидком топливе и на твердом топливе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27.40.32.000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Наборы осветительные для рождественских (новогодних) елок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27.40.25.129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Устройства осветительные электрические подвесные, потолочные, встраиваемые и настенные, предназначенные для использования с лампами прочих типов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26.51.45.190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Приборы и аппаратура для измерения или контроля электрических величин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26.40.33.110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Видеокамеры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26.30.11.190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Аппаратура коммуникационная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передающая с приемными устройствами прочая, не включенная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26.20.40.190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Комплектующие и запасные части для вычислительных машин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Сейфы и шкафы прочие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2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25.99.21.119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continue"/>
            <w:textDirection w:val="lrTb"/>
            <w:noWrap w:val="false"/>
          </w:tcPr>
          <w:p>
            <w:pPr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</w:r>
            <w:r>
              <w:rPr>
                <w:color w:val="000000"/>
                <w:sz w:val="22"/>
                <w:szCs w:val="20"/>
              </w:rPr>
            </w:r>
            <w:r>
              <w:rPr>
                <w:color w:val="000000"/>
                <w:sz w:val="22"/>
                <w:szCs w:val="20"/>
              </w:rPr>
            </w:r>
          </w:p>
        </w:tc>
      </w:tr>
      <w:tr>
        <w:tblPrEx/>
        <w:trPr>
          <w:trHeight w:val="48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95.11.10.190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ремонту прочего компьютерного и периферийного компьютерного оборудования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84.25.11.120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обеспечению пожарной безопасности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3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81.10.10.000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обслуживанию помещений комплексные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81.30.10.000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планировке ландшафта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81.21.10.000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общей уборке зданий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80.20.10.000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систем обеспечения безопасности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66.29.11.000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актуариев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62.02.10.000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ab/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консультативные по компьютерному оборудованию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45.20.30.000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Мойка автотранспортных средств, полирование и аналогичные услуги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282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9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</w:tbl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Заказчик не обязан осуществлять закупки товаров, работ, услуг у СМСП, включенных в Перечень товаров, работ, услуг, закупки которых осуществляются у субъектов малого и среднего предпринимательства в случаях: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- осуществления закупок, предметы договоров которых, отнесены к исключениям, установленным пунктом 7 Положения;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- если закупка товаров, работ, услуг осуществляется Заказчиком в составе комплексной закупки и/или в составе одного лота, где они технологически и функционально связаны с иными товарами, работами, услугами, не включенными в Перечень.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- принятия решения, по истечении срока приема заявок при осуществлении закупки, участниками которой могут быть только СМСП, о проведении закупки на общих условиях, если: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а) СМСП не подали заявок на участие в такой закупке;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б) заявки всех участников закупки, являющихся СМСП, отозваны или не соответствуют требованиям, предусмотренным закупочной документацией;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в) заявка, поданная единственным участником закупки, являющимся СМСП, не соответствует требованиям, предусмотренным закупочной документацией;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г) заказчиком в порядке, установленном положением о закупке, принято решение о том, что договор по результатам закупки не заключается;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д) заказчик отменил решение об определении поставщика (исполнителя, подрядчика), в случае если, по результатам такой закупки договор не был заключен.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- в иных случаях, указанных в закупочной документации.</w:t>
      </w:r>
      <w:bookmarkEnd w:id="0"/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center"/>
        <w:shd w:val="clear" w:color="auto" w:fill="ffffff" w:themeFill="background1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993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i w:val="0"/>
        <w:iCs w:val="0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360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9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96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00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4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8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2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8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9"/>
    <w:next w:val="849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50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9"/>
    <w:next w:val="849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50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9"/>
    <w:next w:val="849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50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9"/>
    <w:next w:val="849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50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50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50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50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50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9"/>
    <w:next w:val="849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50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49"/>
    <w:next w:val="84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basedOn w:val="850"/>
    <w:link w:val="693"/>
    <w:uiPriority w:val="10"/>
    <w:rPr>
      <w:sz w:val="48"/>
      <w:szCs w:val="48"/>
    </w:rPr>
  </w:style>
  <w:style w:type="paragraph" w:styleId="695">
    <w:name w:val="Subtitle"/>
    <w:basedOn w:val="849"/>
    <w:next w:val="849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basedOn w:val="850"/>
    <w:link w:val="695"/>
    <w:uiPriority w:val="11"/>
    <w:rPr>
      <w:sz w:val="24"/>
      <w:szCs w:val="24"/>
    </w:rPr>
  </w:style>
  <w:style w:type="paragraph" w:styleId="697">
    <w:name w:val="Quote"/>
    <w:basedOn w:val="849"/>
    <w:next w:val="849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49"/>
    <w:next w:val="849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character" w:styleId="701">
    <w:name w:val="Header Char"/>
    <w:basedOn w:val="850"/>
    <w:link w:val="853"/>
    <w:uiPriority w:val="99"/>
  </w:style>
  <w:style w:type="paragraph" w:styleId="702">
    <w:name w:val="Footer"/>
    <w:basedOn w:val="849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basedOn w:val="850"/>
    <w:link w:val="702"/>
    <w:uiPriority w:val="99"/>
  </w:style>
  <w:style w:type="paragraph" w:styleId="704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702"/>
    <w:uiPriority w:val="99"/>
  </w:style>
  <w:style w:type="table" w:styleId="706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05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6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7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8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09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0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2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16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9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0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1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2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23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4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0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0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0" w:default="1">
    <w:name w:val="Default Paragraph Font"/>
    <w:uiPriority w:val="1"/>
    <w:semiHidden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paragraph" w:styleId="853">
    <w:name w:val="Header"/>
    <w:basedOn w:val="849"/>
    <w:link w:val="854"/>
    <w:uiPriority w:val="99"/>
    <w:pPr>
      <w:tabs>
        <w:tab w:val="center" w:pos="4677" w:leader="none"/>
        <w:tab w:val="right" w:pos="9355" w:leader="none"/>
      </w:tabs>
    </w:pPr>
  </w:style>
  <w:style w:type="character" w:styleId="854" w:customStyle="1">
    <w:name w:val="Верхний колонтитул Знак"/>
    <w:basedOn w:val="850"/>
    <w:link w:val="85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5" w:customStyle="1">
    <w:name w:val="m_ПростойТекст Char"/>
    <w:link w:val="85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6" w:customStyle="1">
    <w:name w:val="m_ПростойТекст"/>
    <w:basedOn w:val="849"/>
    <w:link w:val="855"/>
    <w:pPr>
      <w:jc w:val="both"/>
    </w:pPr>
  </w:style>
  <w:style w:type="paragraph" w:styleId="857">
    <w:name w:val="List Paragraph"/>
    <w:basedOn w:val="849"/>
    <w:link w:val="858"/>
    <w:uiPriority w:val="34"/>
    <w:qFormat/>
    <w:pPr>
      <w:contextualSpacing/>
      <w:ind w:left="720"/>
    </w:pPr>
  </w:style>
  <w:style w:type="character" w:styleId="858" w:customStyle="1">
    <w:name w:val="Абзац списка Знак"/>
    <w:link w:val="857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9">
    <w:name w:val="annotation reference"/>
    <w:basedOn w:val="850"/>
    <w:uiPriority w:val="99"/>
    <w:unhideWhenUsed/>
    <w:rPr>
      <w:sz w:val="16"/>
      <w:szCs w:val="16"/>
    </w:rPr>
  </w:style>
  <w:style w:type="paragraph" w:styleId="860">
    <w:name w:val="annotation text"/>
    <w:basedOn w:val="849"/>
    <w:link w:val="861"/>
    <w:uiPriority w:val="99"/>
    <w:unhideWhenUsed/>
    <w:rPr>
      <w:sz w:val="20"/>
      <w:szCs w:val="20"/>
    </w:rPr>
  </w:style>
  <w:style w:type="character" w:styleId="861" w:customStyle="1">
    <w:name w:val="Текст примечания Знак"/>
    <w:basedOn w:val="850"/>
    <w:link w:val="86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862">
    <w:name w:val="Table Grid"/>
    <w:basedOn w:val="85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4">
    <w:name w:val="Balloon Text"/>
    <w:basedOn w:val="849"/>
    <w:link w:val="86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5" w:customStyle="1">
    <w:name w:val="Текст выноски Знак"/>
    <w:basedOn w:val="850"/>
    <w:link w:val="86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Светлана Олеговна</dc:creator>
  <cp:keywords/>
  <dc:description/>
  <cp:revision>7</cp:revision>
  <dcterms:created xsi:type="dcterms:W3CDTF">2023-12-13T11:56:00Z</dcterms:created>
  <dcterms:modified xsi:type="dcterms:W3CDTF">2024-12-12T07:02:03Z</dcterms:modified>
</cp:coreProperties>
</file>